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E6A" w:rsidRDefault="00573E6A" w:rsidP="00573E6A">
      <w:pPr>
        <w:pStyle w:val="Standard"/>
        <w:ind w:left="3545" w:right="4819" w:firstLine="709"/>
        <w:jc w:val="both"/>
        <w:rPr>
          <w:rFonts w:ascii="Liberation Serif" w:hAnsi="Liberation Serif" w:cs="Times New Roman"/>
          <w:sz w:val="24"/>
        </w:rPr>
      </w:pPr>
      <w:r>
        <w:rPr>
          <w:rFonts w:ascii="Liberation Serif" w:hAnsi="Liberation Serif" w:cs="Times New Roman"/>
          <w:sz w:val="24"/>
        </w:rPr>
        <w:t>ПРОЕКТ</w:t>
      </w:r>
    </w:p>
    <w:p w:rsidR="00573E6A" w:rsidRDefault="00573E6A">
      <w:pPr>
        <w:pStyle w:val="Standard"/>
        <w:ind w:right="4819"/>
        <w:jc w:val="both"/>
        <w:rPr>
          <w:rFonts w:ascii="Liberation Serif" w:hAnsi="Liberation Serif" w:cs="Times New Roman"/>
          <w:sz w:val="24"/>
        </w:rPr>
      </w:pPr>
    </w:p>
    <w:p w:rsidR="00605126" w:rsidRDefault="00DB51D7">
      <w:pPr>
        <w:pStyle w:val="Standard"/>
        <w:ind w:right="4819"/>
        <w:jc w:val="both"/>
        <w:rPr>
          <w:rFonts w:ascii="Liberation Serif" w:hAnsi="Liberation Serif" w:cs="Times New Roman"/>
          <w:sz w:val="24"/>
        </w:rPr>
      </w:pPr>
      <w:r>
        <w:rPr>
          <w:rFonts w:ascii="Liberation Serif" w:hAnsi="Liberation Serif" w:cs="Times New Roman"/>
          <w:sz w:val="24"/>
        </w:rPr>
        <w:t>О внесении изменений в Административный регламент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утвержденный приказом Управления по надзору за техническим состоянием самоходных машин и других видов техники Республики Татарстан от 20.05.2024 № 01-05/143-пр «Об утверждении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состоянием»</w:t>
      </w:r>
    </w:p>
    <w:p w:rsidR="00605126" w:rsidRDefault="00605126">
      <w:pPr>
        <w:pStyle w:val="Standard"/>
        <w:ind w:right="3969"/>
        <w:jc w:val="both"/>
        <w:rPr>
          <w:rFonts w:ascii="Liberation Serif" w:hAnsi="Liberation Serif" w:cs="Times New Roman"/>
          <w:szCs w:val="28"/>
        </w:rPr>
      </w:pPr>
    </w:p>
    <w:p w:rsidR="00605126" w:rsidRDefault="00DB51D7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ПРИКАЗЫВАЮ:</w:t>
      </w:r>
    </w:p>
    <w:p w:rsidR="00605126" w:rsidRDefault="00605126">
      <w:pPr>
        <w:autoSpaceDE w:val="0"/>
        <w:jc w:val="both"/>
        <w:rPr>
          <w:rFonts w:cs="Times New Roman"/>
          <w:sz w:val="28"/>
          <w:szCs w:val="28"/>
        </w:rPr>
      </w:pPr>
    </w:p>
    <w:p w:rsidR="00605126" w:rsidRDefault="00DB51D7">
      <w:pPr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Внести в Административный регламент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утвержденный приказом Управления по надзору за техническим состоянием самоходных машин и других видов техники Республики Татарстан от 20.05.2024 № 01-05/143-пр «Об утверждении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состоянием» (с изменениями, внесенными приказами Управления по надзору за техническим состоянием самоходных машин и других видов техники Республики Татарстан от 24.09.2024 № 01-05/240-пр, от 24.02.2026 № 01-05/42-пр) следующие изменения: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 w:cs="Times New Roman"/>
          <w:color w:val="FF0000"/>
          <w:szCs w:val="28"/>
        </w:rPr>
        <w:t xml:space="preserve"> </w:t>
      </w:r>
      <w:r>
        <w:rPr>
          <w:rFonts w:ascii="Liberation Serif" w:hAnsi="Liberation Serif" w:cs="Times New Roman"/>
          <w:szCs w:val="28"/>
        </w:rPr>
        <w:t>пункт 2.4. изложить в следующей редакции: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«2.4. Срок предоставления государственной услуги.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 w:cs="Times New Roman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о предоставлении государственной услуги и документы, необходимые для предоставления государственной услуги, поданы заявителем в отдел Управления нарочно, почтовым отправлением или через электронную почту, составляет девять рабочих дней со дня регистрации запроса и документов отделом Управления.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запрос о предоставлении государственной услуги и документы, необходимые для предоставления государственной услуги, поданы заявителем в отдел Управления через личный кабинет на Едином портале, Республиканском портале, составляет девять рабочих дней со дня присвоения запросу </w:t>
      </w:r>
      <w:r>
        <w:rPr>
          <w:rFonts w:ascii="Liberation Serif" w:hAnsi="Liberation Serif" w:cs="Times New Roman"/>
          <w:szCs w:val="28"/>
        </w:rPr>
        <w:lastRenderedPageBreak/>
        <w:t>номера в соответствии с номенклатурой дел и статуса «Проверка документов», отражаемых в личном кабинете на Едином портале, Республиканском портале.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Максимальный срок предоставления государственной услуги для всех категорий (признаков) заявителей в части выдачи дубликата свидетельства о прохождении технического осмотра составляет три рабочих дня со дня регистрации соответствующего запроса.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Предоставление государственной услуги приостанавливается в случае возникновения оснований, указанных в разделе 2 таблицы Приложения № 4 к настоящему Регламенту.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услуги.»;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пункт 2.5.1. изложить в следующей редакции: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«2.5. Размер платы, взимаемой с заявителя при предоставлении государственной услуги, и способы ее взимания.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 w:cs="Times New Roman"/>
          <w:szCs w:val="28"/>
        </w:rPr>
      </w:pPr>
      <w:r>
        <w:rPr>
          <w:rFonts w:ascii="Liberation Serif" w:hAnsi="Liberation Serif" w:cs="Times New Roman"/>
          <w:szCs w:val="28"/>
        </w:rPr>
        <w:t>2.5.1. Государственная услуга предоставляется на возмездной основе.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 w:cs="Times New Roman"/>
          <w:szCs w:val="28"/>
        </w:rPr>
        <w:t>Государственная пошлина за предоставление государственной услуги взимается в размере, установленными подпунктом 41</w:t>
      </w:r>
      <w:r>
        <w:rPr>
          <w:rFonts w:ascii="Liberation Serif" w:hAnsi="Liberation Serif" w:cs="Times New Roman"/>
          <w:szCs w:val="28"/>
          <w:vertAlign w:val="superscript"/>
        </w:rPr>
        <w:t>2</w:t>
      </w:r>
      <w:r>
        <w:rPr>
          <w:rFonts w:ascii="Liberation Serif" w:hAnsi="Liberation Serif" w:cs="Times New Roman"/>
          <w:szCs w:val="28"/>
        </w:rPr>
        <w:t xml:space="preserve"> пункта 1 статьи 333</w:t>
      </w:r>
      <w:r>
        <w:rPr>
          <w:rFonts w:ascii="Liberation Serif" w:hAnsi="Liberation Serif" w:cs="Times New Roman"/>
          <w:szCs w:val="28"/>
          <w:vertAlign w:val="superscript"/>
        </w:rPr>
        <w:t>33</w:t>
      </w:r>
      <w:r>
        <w:rPr>
          <w:rFonts w:ascii="Liberation Serif" w:hAnsi="Liberation Serif" w:cs="Times New Roman"/>
          <w:szCs w:val="28"/>
        </w:rPr>
        <w:t xml:space="preserve"> Налогового кодекса </w:t>
      </w:r>
      <w:r>
        <w:rPr>
          <w:rFonts w:ascii="Liberation Serif" w:hAnsi="Liberation Serif" w:cs="Times New Roman"/>
          <w:color w:val="000000"/>
          <w:szCs w:val="28"/>
        </w:rPr>
        <w:t xml:space="preserve">Российской Федерации, и размещена </w:t>
      </w:r>
      <w:r>
        <w:rPr>
          <w:rFonts w:ascii="Liberation Serif" w:hAnsi="Liberation Serif"/>
          <w:color w:val="000000"/>
        </w:rPr>
        <w:t>на Едином Портале, Республиканском Портале.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Государственная пошлина взимается в следующих размерах: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1) выдача документа о прохождении технического осмотра - 400 рублей;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2) выдача дубликата свидетельства о прохождении технического осмотра взамен утраченного или в случае его порчи - 400 рублей.»;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 w:cs="Times New Roman"/>
          <w:color w:val="000000"/>
          <w:szCs w:val="28"/>
        </w:rPr>
        <w:t>пункт 2.7. изложить в следующей редакции: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 w:cs="Times New Roman"/>
          <w:color w:val="000000"/>
          <w:szCs w:val="28"/>
        </w:rPr>
        <w:t>«2.7. Срок регистрации запроса заявителя о предоставлении государственной услуги.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/>
          <w:color w:val="000000"/>
        </w:rPr>
        <w:t>2.7.1. При личном обращении в отдел Управления, запрос, поступивший по почте, по электронной почте, регистрируется в течение одного рабочего дня с момента поступления запроса.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/>
          <w:color w:val="000000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день.»;</w:t>
      </w:r>
    </w:p>
    <w:p w:rsidR="00605126" w:rsidRDefault="00DB51D7">
      <w:pPr>
        <w:pStyle w:val="Standard"/>
        <w:ind w:firstLine="567"/>
        <w:jc w:val="both"/>
      </w:pPr>
      <w:r>
        <w:rPr>
          <w:rFonts w:ascii="Liberation Serif" w:hAnsi="Liberation Serif"/>
          <w:color w:val="000000"/>
        </w:rPr>
        <w:t>пункт 2.7.2. изложить в следующей редакции: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«2.7.2. При направлении запроса посредством Единого портала, Республиканского портала, заявитель в день подачи запроса получает в личном кабинете Единого портала,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запроса.»;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пункт 2.8.1 изложить в следующей редакции:</w:t>
      </w:r>
    </w:p>
    <w:p w:rsidR="00605126" w:rsidRDefault="00DB51D7">
      <w:pPr>
        <w:pStyle w:val="Standard"/>
        <w:ind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«2.8. Требования к помещениям, в которых предоставляется государственная услуга.</w:t>
      </w:r>
    </w:p>
    <w:p w:rsidR="00605126" w:rsidRDefault="00DB51D7">
      <w:pPr>
        <w:ind w:firstLine="709"/>
        <w:jc w:val="both"/>
        <w:textAlignment w:val="auto"/>
        <w:rPr>
          <w:rFonts w:eastAsia="PT Astra Serif" w:cs="PT Astra Serif"/>
          <w:color w:val="000000"/>
          <w:sz w:val="28"/>
        </w:rPr>
      </w:pPr>
      <w:r>
        <w:rPr>
          <w:rFonts w:eastAsia="PT Astra Serif" w:cs="PT Astra Serif"/>
          <w:color w:val="000000"/>
          <w:sz w:val="28"/>
        </w:rPr>
        <w:t>2.8.1. Сведения о требованиях к помещениям, в которых предоставляется государственная услуга, размещены на официальном сайте Управления (https://gtn.tatarstan.ru/) в информационно-телекоммуникационной сети «Интернет», а также на Едином портале, Республиканском портале.».</w:t>
      </w:r>
    </w:p>
    <w:p w:rsidR="00605126" w:rsidRDefault="00605126">
      <w:pPr>
        <w:pStyle w:val="Standard"/>
        <w:ind w:firstLine="567"/>
        <w:jc w:val="both"/>
      </w:pPr>
    </w:p>
    <w:p w:rsidR="00605126" w:rsidRDefault="00DB51D7">
      <w:pPr>
        <w:pStyle w:val="Standard"/>
        <w:jc w:val="both"/>
      </w:pPr>
      <w:bookmarkStart w:id="0" w:name="_GoBack"/>
      <w:bookmarkEnd w:id="0"/>
      <w:r>
        <w:rPr>
          <w:rFonts w:ascii="Times New Roman" w:hAnsi="Times New Roman" w:cs="Times New Roman"/>
          <w:color w:val="000000"/>
          <w:szCs w:val="28"/>
        </w:rPr>
        <w:t>Начальник                                                                                                    А.Ш.Бурганов</w:t>
      </w:r>
    </w:p>
    <w:sectPr w:rsidR="00605126">
      <w:pgSz w:w="11906" w:h="16838"/>
      <w:pgMar w:top="993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E7" w:rsidRDefault="00A40CE7">
      <w:r>
        <w:separator/>
      </w:r>
    </w:p>
  </w:endnote>
  <w:endnote w:type="continuationSeparator" w:id="0">
    <w:p w:rsidR="00A40CE7" w:rsidRDefault="00A4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E7" w:rsidRDefault="00A40CE7">
      <w:r>
        <w:rPr>
          <w:color w:val="000000"/>
        </w:rPr>
        <w:separator/>
      </w:r>
    </w:p>
  </w:footnote>
  <w:footnote w:type="continuationSeparator" w:id="0">
    <w:p w:rsidR="00A40CE7" w:rsidRDefault="00A4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12E"/>
    <w:multiLevelType w:val="multilevel"/>
    <w:tmpl w:val="90AECC66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" w15:restartNumberingAfterBreak="0">
    <w:nsid w:val="1CFB717D"/>
    <w:multiLevelType w:val="multilevel"/>
    <w:tmpl w:val="21D0AC9C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238D1FE4"/>
    <w:multiLevelType w:val="multilevel"/>
    <w:tmpl w:val="31BEB1CE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3" w15:restartNumberingAfterBreak="0">
    <w:nsid w:val="2FEE039B"/>
    <w:multiLevelType w:val="multilevel"/>
    <w:tmpl w:val="F7A61D1A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4" w15:restartNumberingAfterBreak="0">
    <w:nsid w:val="37B1382F"/>
    <w:multiLevelType w:val="multilevel"/>
    <w:tmpl w:val="465C88AE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5" w15:restartNumberingAfterBreak="0">
    <w:nsid w:val="3A37118F"/>
    <w:multiLevelType w:val="multilevel"/>
    <w:tmpl w:val="9C6C43B8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6" w15:restartNumberingAfterBreak="0">
    <w:nsid w:val="4EF858EE"/>
    <w:multiLevelType w:val="multilevel"/>
    <w:tmpl w:val="BDE4635A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7" w15:restartNumberingAfterBreak="0">
    <w:nsid w:val="67D532DA"/>
    <w:multiLevelType w:val="multilevel"/>
    <w:tmpl w:val="323698B4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8" w15:restartNumberingAfterBreak="0">
    <w:nsid w:val="681E1A04"/>
    <w:multiLevelType w:val="multilevel"/>
    <w:tmpl w:val="8C424ACA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9" w15:restartNumberingAfterBreak="0">
    <w:nsid w:val="74506100"/>
    <w:multiLevelType w:val="multilevel"/>
    <w:tmpl w:val="21ECBF2E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0" w15:restartNumberingAfterBreak="0">
    <w:nsid w:val="7A2643FE"/>
    <w:multiLevelType w:val="multilevel"/>
    <w:tmpl w:val="6450C468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1" w15:restartNumberingAfterBreak="0">
    <w:nsid w:val="7D730983"/>
    <w:multiLevelType w:val="multilevel"/>
    <w:tmpl w:val="3C142894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2" w15:restartNumberingAfterBreak="0">
    <w:nsid w:val="7F52431A"/>
    <w:multiLevelType w:val="multilevel"/>
    <w:tmpl w:val="DF4E4F2A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4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26"/>
    <w:rsid w:val="00573E6A"/>
    <w:rsid w:val="00605126"/>
    <w:rsid w:val="00A40CE7"/>
    <w:rsid w:val="00C8084F"/>
    <w:rsid w:val="00D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E3DB"/>
  <w15:docId w15:val="{B945A9F9-1801-40B6-B971-179E8960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uppressAutoHyphens/>
    </w:pPr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e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21">
    <w:name w:val="Список 21"/>
    <w:basedOn w:val="a4"/>
    <w:pPr>
      <w:numPr>
        <w:numId w:val="4"/>
      </w:numPr>
    </w:pPr>
  </w:style>
  <w:style w:type="numbering" w:customStyle="1" w:styleId="31">
    <w:name w:val="Список 31"/>
    <w:basedOn w:val="a4"/>
    <w:pPr>
      <w:numPr>
        <w:numId w:val="5"/>
      </w:numPr>
    </w:pPr>
  </w:style>
  <w:style w:type="numbering" w:customStyle="1" w:styleId="41">
    <w:name w:val="Список 41"/>
    <w:basedOn w:val="a4"/>
    <w:pPr>
      <w:numPr>
        <w:numId w:val="6"/>
      </w:numPr>
    </w:pPr>
  </w:style>
  <w:style w:type="numbering" w:customStyle="1" w:styleId="51">
    <w:name w:val="Список 51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gostehn</dc:creator>
  <cp:lastModifiedBy>Olga Kamaleeva</cp:lastModifiedBy>
  <cp:revision>2</cp:revision>
  <dcterms:created xsi:type="dcterms:W3CDTF">2026-06-11T13:24:00Z</dcterms:created>
  <dcterms:modified xsi:type="dcterms:W3CDTF">2026-06-11T13:24:00Z</dcterms:modified>
</cp:coreProperties>
</file>