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FD" w:rsidRPr="000356A5" w:rsidRDefault="009E50FD" w:rsidP="009E50F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6A5">
        <w:rPr>
          <w:rFonts w:ascii="Times New Roman" w:hAnsi="Times New Roman"/>
          <w:b/>
          <w:sz w:val="24"/>
          <w:szCs w:val="24"/>
        </w:rPr>
        <w:t xml:space="preserve">Информация об исполнении Антикоррупционной программы </w:t>
      </w:r>
    </w:p>
    <w:p w:rsidR="009E50FD" w:rsidRPr="000356A5" w:rsidRDefault="009E50FD" w:rsidP="009E50F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6A5">
        <w:rPr>
          <w:rFonts w:ascii="Times New Roman" w:hAnsi="Times New Roman"/>
          <w:b/>
          <w:sz w:val="24"/>
          <w:szCs w:val="24"/>
        </w:rPr>
        <w:t xml:space="preserve">Управления Гостехнадзора Республики Татарстан </w:t>
      </w:r>
    </w:p>
    <w:p w:rsidR="004608D9" w:rsidRPr="000356A5" w:rsidRDefault="009E50FD" w:rsidP="009E5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56A5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0356A5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AC4C0F" w:rsidRPr="000356A5" w:rsidRDefault="00AC4C0F" w:rsidP="00DC2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2551"/>
        <w:gridCol w:w="7902"/>
      </w:tblGrid>
      <w:tr w:rsidR="00DC29C8" w:rsidRPr="000356A5" w:rsidTr="00FE5ECC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0356A5" w:rsidRDefault="000A27FE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0356A5" w:rsidRDefault="008020AD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0356A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0356A5" w:rsidRDefault="00BF2474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2" w:type="dxa"/>
            <w:vMerge w:val="restart"/>
            <w:tcBorders>
              <w:bottom w:val="nil"/>
            </w:tcBorders>
            <w:shd w:val="clear" w:color="auto" w:fill="auto"/>
          </w:tcPr>
          <w:p w:rsidR="000A27FE" w:rsidRPr="000356A5" w:rsidRDefault="00E03B60" w:rsidP="009E0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9E0EA8"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0AD" w:rsidRPr="000356A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DC29C8" w:rsidRPr="000356A5" w:rsidTr="00FE5ECC">
        <w:trPr>
          <w:trHeight w:val="276"/>
          <w:tblHeader/>
        </w:trPr>
        <w:tc>
          <w:tcPr>
            <w:tcW w:w="648" w:type="dxa"/>
            <w:vMerge/>
          </w:tcPr>
          <w:p w:rsidR="000A27FE" w:rsidRPr="000356A5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0356A5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27FE" w:rsidRPr="000356A5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vMerge/>
            <w:shd w:val="clear" w:color="auto" w:fill="auto"/>
          </w:tcPr>
          <w:p w:rsidR="000A27FE" w:rsidRPr="000356A5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0356A5" w:rsidRDefault="001E592A" w:rsidP="00DC2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2551"/>
        <w:gridCol w:w="7902"/>
      </w:tblGrid>
      <w:tr w:rsidR="00DC29C8" w:rsidRPr="000356A5" w:rsidTr="00FE5ECC">
        <w:trPr>
          <w:tblHeader/>
        </w:trPr>
        <w:tc>
          <w:tcPr>
            <w:tcW w:w="648" w:type="dxa"/>
          </w:tcPr>
          <w:p w:rsidR="000A27FE" w:rsidRPr="000356A5" w:rsidRDefault="000A27FE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0356A5" w:rsidRDefault="000A27FE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27FE" w:rsidRPr="000356A5" w:rsidRDefault="000A27FE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0356A5" w:rsidRDefault="008020AD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0356A5">
        <w:trPr>
          <w:trHeight w:val="343"/>
        </w:trPr>
        <w:tc>
          <w:tcPr>
            <w:tcW w:w="15948" w:type="dxa"/>
            <w:gridSpan w:val="4"/>
          </w:tcPr>
          <w:p w:rsidR="007D1D4B" w:rsidRPr="000356A5" w:rsidRDefault="007D1D4B" w:rsidP="00DC29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0356A5" w:rsidRDefault="006A23C0" w:rsidP="00DC29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0356A5" w:rsidRDefault="007D1D4B" w:rsidP="00DC29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0356A5" w:rsidTr="00FE5ECC">
        <w:trPr>
          <w:trHeight w:val="1062"/>
        </w:trPr>
        <w:tc>
          <w:tcPr>
            <w:tcW w:w="648" w:type="dxa"/>
          </w:tcPr>
          <w:p w:rsidR="000A27FE" w:rsidRPr="000356A5" w:rsidRDefault="00B1636B" w:rsidP="00DC29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0A27FE" w:rsidRPr="000356A5" w:rsidRDefault="00A6030B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551" w:type="dxa"/>
            <w:shd w:val="clear" w:color="auto" w:fill="auto"/>
          </w:tcPr>
          <w:p w:rsidR="000A27FE" w:rsidRPr="000356A5" w:rsidRDefault="00BF2474" w:rsidP="00BF2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FE5ECC" w:rsidRPr="000356A5" w:rsidRDefault="00FE5ECC" w:rsidP="00F3148B">
            <w:pPr>
              <w:widowControl w:val="0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Приказ от 17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.06.2016 № 01-05/161-пр «Об организации и проведении в отношении государственного гражданского служащего Управления Гостехнадзора Республики Татарстан проверочных мероприятий».</w:t>
            </w:r>
          </w:p>
          <w:p w:rsidR="00F3148B" w:rsidRPr="000356A5" w:rsidRDefault="00F3148B" w:rsidP="00F3148B">
            <w:pPr>
              <w:widowControl w:val="0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Приказ от 02.06.2016 № 01-05/150-пр «Об организации и проведении в отношении государственных гражданских служащих Республики Татарстан Управления Гостехнадзора Республики Татарстан проверочных мероприятий».</w:t>
            </w:r>
          </w:p>
          <w:p w:rsidR="00F3148B" w:rsidRPr="000356A5" w:rsidRDefault="00F3148B" w:rsidP="00F3148B">
            <w:pPr>
              <w:widowControl w:val="0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01.06.2016 № 01-05/146-пр «Об утверждении Положения об организации проведения служебных проверок и применении дисциплинарных взысканий в Управлении по надзору за техническим состоянием самоходных машин и других видов техники Республики Татарстан».</w:t>
            </w:r>
          </w:p>
          <w:p w:rsidR="00F3148B" w:rsidRPr="000356A5" w:rsidRDefault="00F3148B" w:rsidP="00F3148B">
            <w:pPr>
              <w:widowControl w:val="0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Приказ от 16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.05.2016 № 01-05/132-пр «О внесении изменений в Программу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 на </w:t>
            </w:r>
            <w:r w:rsidR="00BF2474"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, утвержденную приказом Управления Гостехнадзора Республики Татарстан от 27.11.2014 № 01-05/251-пр».</w:t>
            </w:r>
          </w:p>
          <w:p w:rsidR="00F3148B" w:rsidRPr="000356A5" w:rsidRDefault="00F3148B" w:rsidP="00F3148B">
            <w:pPr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Приказ Управления Гостехнадзора Республики Татарстан от 23.03.2016 № 01-05/75-пр «Об утверждении Порядка сообщения государственными гражданскими служащими в Управлении Гостехнадзора Республики Татарстан о возникновении личной заинтересованности при исполнении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обязанностей, которая приводит или может привести к конфликту интересов».</w:t>
            </w:r>
          </w:p>
          <w:p w:rsidR="00F3148B" w:rsidRPr="000356A5" w:rsidRDefault="00F3148B" w:rsidP="00F3148B">
            <w:pPr>
              <w:widowControl w:val="0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23.03.2016 № 01-05/76-пр «Об утверждении Порядка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объединений».</w:t>
            </w:r>
          </w:p>
          <w:p w:rsidR="000A27FE" w:rsidRPr="000356A5" w:rsidRDefault="00FE5ECC" w:rsidP="00F3148B">
            <w:pPr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Приказ Управления Гостехнадзора Республики Татарстан от 12.02.2016 № 01-05/42-пр «О внесении изменений в </w:t>
            </w:r>
            <w:r w:rsidR="00F3148B" w:rsidRPr="000356A5"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23 июня 2015 г. № 01-05/100-пр «О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</w:t>
            </w:r>
            <w:r w:rsidR="00F3148B" w:rsidRPr="00035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474" w:rsidRPr="000356A5" w:rsidTr="00FE5ECC">
        <w:trPr>
          <w:trHeight w:val="1056"/>
        </w:trPr>
        <w:tc>
          <w:tcPr>
            <w:tcW w:w="648" w:type="dxa"/>
          </w:tcPr>
          <w:p w:rsidR="00BF2474" w:rsidRPr="000356A5" w:rsidRDefault="00BF2474" w:rsidP="00BF2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BF2474" w:rsidRPr="000356A5" w:rsidRDefault="00A6030B" w:rsidP="00BF2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551" w:type="dxa"/>
            <w:shd w:val="clear" w:color="auto" w:fill="auto"/>
          </w:tcPr>
          <w:p w:rsidR="00BF2474" w:rsidRPr="000356A5" w:rsidRDefault="00BF2474" w:rsidP="00BF2474">
            <w:pPr>
              <w:jc w:val="center"/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BF2474" w:rsidRPr="000356A5" w:rsidRDefault="00BF2474" w:rsidP="00BF2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17.04.2015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BF2474" w:rsidRPr="000356A5" w:rsidTr="00FE5ECC">
        <w:tc>
          <w:tcPr>
            <w:tcW w:w="648" w:type="dxa"/>
          </w:tcPr>
          <w:p w:rsidR="00BF2474" w:rsidRPr="000356A5" w:rsidRDefault="00BF2474" w:rsidP="00BF2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BF2474" w:rsidRPr="000356A5" w:rsidRDefault="00CB3A9C" w:rsidP="00BF2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</w:t>
            </w:r>
            <w:r w:rsidR="00A76E1B" w:rsidRPr="000356A5">
              <w:rPr>
                <w:rFonts w:ascii="Times New Roman" w:hAnsi="Times New Roman"/>
                <w:sz w:val="24"/>
                <w:szCs w:val="24"/>
              </w:rPr>
              <w:t>рственными служащими Управления</w:t>
            </w:r>
          </w:p>
        </w:tc>
        <w:tc>
          <w:tcPr>
            <w:tcW w:w="2551" w:type="dxa"/>
            <w:shd w:val="clear" w:color="auto" w:fill="auto"/>
          </w:tcPr>
          <w:p w:rsidR="00BF2474" w:rsidRPr="000356A5" w:rsidRDefault="00BF2474" w:rsidP="00BF2474">
            <w:pPr>
              <w:jc w:val="center"/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BF2474" w:rsidRPr="000356A5" w:rsidRDefault="00BF2474" w:rsidP="00BF2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государственных служащих, а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также членов их семей (далее – сведения о доходах, расходах), осуществлено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</w:t>
            </w:r>
            <w:r w:rsidRPr="000356A5">
              <w:rPr>
                <w:rFonts w:ascii="Times New Roman" w:hAnsi="Times New Roman"/>
                <w:sz w:val="24"/>
                <w:szCs w:val="24"/>
                <w:lang w:eastAsia="ru-RU"/>
              </w:rPr>
              <w:t>от 8 февраля 2016 г. № 18-0/10/В-751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)</w:t>
            </w:r>
            <w:r w:rsidRPr="000356A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2474" w:rsidRPr="000356A5" w:rsidRDefault="00BF2474" w:rsidP="00BF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На основании полученных ответов от Управления ГИБДД МВД по </w:t>
            </w:r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Республике Татарстан,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ФКУ «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ГИМС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МЧС России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Республике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Татарстан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», отдела надзора и автоматизированного учета Управления, подготовлен отчет о результатах предоставления с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ведений о доходах, расходах, об имуществе и обязательствах имущественного характера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лиц, замещающих должности государственной гражданской службы Республики Татарстан в Управлении и членов их семей (далее – Отчет), который был рассмотрен на заседании комиссии при начальнике Управления по противодействию коррупции 09.09.2016. По результатам рассмотрения было принято решение о направлении материалов проверочных мероприятий в комиссию по соблюдению требований к служебному поведению государственных гражданских служащих Управления для рассмотрения и принятия необходимых решений. </w:t>
            </w:r>
          </w:p>
          <w:p w:rsidR="00BF2474" w:rsidRPr="000356A5" w:rsidRDefault="00BF2474" w:rsidP="00BF2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09.09.2016 на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заседании комиссии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Pr="0003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были приняты решения:</w:t>
            </w:r>
          </w:p>
          <w:p w:rsidR="00BF2474" w:rsidRPr="000356A5" w:rsidRDefault="00BF2474" w:rsidP="00BF2474">
            <w:pPr>
              <w:numPr>
                <w:ilvl w:val="0"/>
                <w:numId w:val="31"/>
              </w:numPr>
              <w:tabs>
                <w:tab w:val="left" w:pos="3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К дисциплинарной ответственности государственных гражданских служащих не привлекать.</w:t>
            </w:r>
          </w:p>
          <w:p w:rsidR="00BF2474" w:rsidRPr="000356A5" w:rsidRDefault="00BF2474" w:rsidP="00BF2474">
            <w:pPr>
              <w:numPr>
                <w:ilvl w:val="0"/>
                <w:numId w:val="31"/>
              </w:numPr>
              <w:tabs>
                <w:tab w:val="left" w:pos="369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Направить повторный запрос в Управление ГИБДД МВД по </w:t>
            </w:r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Республике Татарстан для подтверждения информации полученной в ходе рассмотрения полученной информации, в том числе из пояснительных записок государственных гражданских служащих, в отношении которых проводилась комиссия и результатов проверочных мероприятий.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474" w:rsidRPr="000356A5" w:rsidRDefault="00BF2474" w:rsidP="00BF2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и протоколы размещены на официальном сайте Управления в разделе «Противодействие коррупции».</w:t>
            </w:r>
          </w:p>
        </w:tc>
      </w:tr>
      <w:tr w:rsidR="00DC29C8" w:rsidRPr="000356A5" w:rsidTr="00FE5ECC">
        <w:tc>
          <w:tcPr>
            <w:tcW w:w="648" w:type="dxa"/>
          </w:tcPr>
          <w:p w:rsidR="000A27FE" w:rsidRPr="000356A5" w:rsidRDefault="00B1636B" w:rsidP="00DC29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0A27FE" w:rsidRPr="000356A5" w:rsidRDefault="00A76E1B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</w:t>
            </w:r>
          </w:p>
        </w:tc>
        <w:tc>
          <w:tcPr>
            <w:tcW w:w="2551" w:type="dxa"/>
            <w:shd w:val="clear" w:color="auto" w:fill="auto"/>
          </w:tcPr>
          <w:p w:rsidR="000A27FE" w:rsidRPr="000356A5" w:rsidRDefault="00BF2474" w:rsidP="00BF2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A2156" w:rsidRPr="000356A5" w:rsidRDefault="009A2156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За 2016 год направлено:</w:t>
            </w:r>
          </w:p>
          <w:p w:rsidR="009A2156" w:rsidRPr="000356A5" w:rsidRDefault="009A2156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6 запросов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службы;</w:t>
            </w:r>
          </w:p>
          <w:p w:rsidR="000A27FE" w:rsidRPr="000356A5" w:rsidRDefault="009A2156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40 запросов в высшие образовательные учреждения о подтверждении прохождения обучения и выдачи дипломов.</w:t>
            </w:r>
          </w:p>
          <w:p w:rsidR="008B611A" w:rsidRPr="000356A5" w:rsidRDefault="009A2156" w:rsidP="00DC2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государственными гражданскими служащими требований к служебному поведению имеется доступ к информационным ресурсам ФНС России (ЕГРЮЛ и ЕГРИП) посредством котор</w:t>
            </w:r>
            <w:r w:rsidR="008B611A" w:rsidRPr="000356A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осуществляется ежегодная проверка всех государственных гражданских  служащих Управления включенных в перечень</w:t>
            </w:r>
            <w:r w:rsidR="008B611A" w:rsidRPr="000356A5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.</w:t>
            </w:r>
            <w:r w:rsidR="008B611A" w:rsidRPr="000356A5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государственными служащими Управления запретов и ограничений, а также неисполнения обязанностей установленных в целях противодействия коррупции не установлено.</w:t>
            </w:r>
          </w:p>
          <w:p w:rsidR="009A2156" w:rsidRPr="000356A5" w:rsidRDefault="009A2156" w:rsidP="00DC2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Все государственные гражданские служащие Республики Татарстан в Управлении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Приказом Управления от 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lastRenderedPageBreak/>
              <w:t>2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>6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>05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>4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>91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0356A5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7" w:history="1">
              <w:r w:rsidRPr="000356A5">
                <w:rPr>
                  <w:rStyle w:val="afb"/>
                  <w:rFonts w:ascii="Times New Roman" w:hAnsi="Times New Roman"/>
                  <w:b w:val="0"/>
                  <w:color w:val="auto"/>
                  <w:u w:val="none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0356A5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С начала 2016 года поступило: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 7 уведомлений о намерении выполнять иную оплачиваемую работу, из них: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2 уведомления о председательстве в участковой избирательной комиссии, 3 уведомления о проведении лекций в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Высшей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школе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КФУ, 1 уведомление о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председательстве экзаменационной комиссии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ГАПОУ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Тетюшский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сельскохозяйственный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техникум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», 1 уведомление об участии в Региональном чемпионате профессионального мастерства в качестве независимого эксперта. Выполнение указанных в уведомлениях работ не повлекло за собой возникновение конфликта интересов и нарушения требований действующего законодательства.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4 уведомления о заключении трудовых договоров с бывшими государственными гражданскими служащими Республики Татарстан. Из них 1 уведомление рассмотрено на комиссии по соблюдению требований к служебному поведению государственных гражданских служащих Управления. Принятое комиссией решение: «дать согласие бывшему гражданскому служащему на замещение должности на предприятии с условием, что при взаимодействии с органами Гостехнадзора при проведении ежегодного технического осмотра самоходной техники, регистрации и снятии с учета поднадзорных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Гостехнадзору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самоходных машин, данные полномочия будут делегироваться другому должностному лицу в пределах компетенции».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Приказом от 27.11.2012 № 01-05/166-пр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 Порядок уведомления начальника Управления Гостехнадзора Республики Татарстан о фактах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обращения в целях склонения государственного гражданского служащего к совершению коррупционных правонарушений.</w:t>
            </w:r>
          </w:p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Все государственные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служащих о фактах обращения к ним с целью склонения к коррупционным правонарушениям и (или) вручения подарка в отчетный период не поступало.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Управлением утвержден 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.12.2015 №01-05/255-пр).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6A5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перечни, и лицами, замещающими указанные должности, с</w:t>
            </w:r>
          </w:p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6A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6A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0356A5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6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государственными гражданскими служащими осуществляется с помощью электронного сервиса «Предоставление сведений о доходах» (https://dohod.tatar.ru/) в Электронном правительстве (Электронный Татарстан).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государственными гражданскими служащими требований к служебному поведению имеется доступ к информационным ресурсам ФНС России (ЕГРЮЛ и ЕГРИП).</w:t>
            </w: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Гостехнадзора Республики Татарстан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от 16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-пр).</w:t>
            </w:r>
          </w:p>
          <w:p w:rsidR="00A76E1B" w:rsidRPr="000356A5" w:rsidRDefault="00A76E1B" w:rsidP="00A76E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В состав комиссии при начальнике Управления Гостехнадзора Республики Татарстан по противодействию коррупции (далее – Комиссия) включены: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0356A5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-               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0356A5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Минхайдарович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», председатель Общественного совета при </w:t>
            </w:r>
            <w:r w:rsidRPr="000356A5">
              <w:rPr>
                <w:rFonts w:ascii="Times New Roman" w:hAnsi="Times New Roman"/>
                <w:b w:val="0"/>
                <w:color w:val="auto"/>
              </w:rPr>
              <w:lastRenderedPageBreak/>
              <w:t>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Комиссии размещаются на официальном сайте Управления в разделе «Противодействие коррупции». За 2016 год проведено 4 заседания Комиссии.</w:t>
            </w: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 июня 2015 г. № 01-05/100-пр «О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За 2016 год проведено 3 заседания Комиссии. Повестка дня: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Первое заседание: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-утверждение плана работы Комиссии на 2016 год;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-рассмотрение уведомлений государственных гражданских служащих Республики Татарстан в Управлении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Второе заседание: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-рассмотрение результатов проверочных мероприятий предоставления с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ведений о доходах, расходах, об имуществе и обязательствах имущественного характера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лиц, замещающих должности государственной гражданской службы Республики Татарстан в Управлении и членов их семей.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Третье заседание: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-обсуждение возможности о даче согласия на замещение должности на </w:t>
            </w:r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предприятии,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бывшему государственному гражданскому служащему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rPr>
          <w:trHeight w:val="1533"/>
        </w:trPr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отчетный период ротация не проводилась.</w:t>
            </w:r>
          </w:p>
        </w:tc>
      </w:tr>
      <w:tr w:rsidR="00A76E1B" w:rsidRPr="000356A5">
        <w:trPr>
          <w:trHeight w:val="470"/>
        </w:trPr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54" w:rsidRPr="000356A5" w:rsidTr="00FE5ECC">
        <w:trPr>
          <w:trHeight w:val="806"/>
        </w:trPr>
        <w:tc>
          <w:tcPr>
            <w:tcW w:w="648" w:type="dxa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551" w:type="dxa"/>
            <w:shd w:val="clear" w:color="auto" w:fill="auto"/>
          </w:tcPr>
          <w:p w:rsidR="00545654" w:rsidRPr="000356A5" w:rsidRDefault="00545654" w:rsidP="00545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45654" w:rsidRPr="000356A5" w:rsidRDefault="00545654" w:rsidP="005456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Управлением утвержден приказ от 06.02.2012 № 12-пр «О проведении антикоррупционной экспертизы нормативных правовых актов и их проектов, разрабатываемых Управлением по надзору за техническим состоянием самоходных машин и других видов техники Республики Татарстан». </w:t>
            </w:r>
          </w:p>
          <w:p w:rsidR="00545654" w:rsidRPr="000356A5" w:rsidRDefault="00545654" w:rsidP="005456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Также 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545654" w:rsidRPr="000356A5" w:rsidRDefault="00545654" w:rsidP="0054565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За 2016 год на антикоррупционную экспертизу поступило 5 проектов НПА и 1 НПА.</w:t>
            </w:r>
          </w:p>
        </w:tc>
      </w:tr>
      <w:tr w:rsidR="00545654" w:rsidRPr="000356A5" w:rsidTr="00FE5ECC">
        <w:tc>
          <w:tcPr>
            <w:tcW w:w="648" w:type="dxa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2551" w:type="dxa"/>
            <w:shd w:val="clear" w:color="auto" w:fill="auto"/>
          </w:tcPr>
          <w:p w:rsidR="00545654" w:rsidRPr="000356A5" w:rsidRDefault="00545654" w:rsidP="00545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545654" w:rsidRPr="000356A5" w:rsidRDefault="00545654" w:rsidP="0054565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За 2016 год для размещения на официальном портале Республики Татарстан в целях проведения независимой антикоррупционной экспертизы было направлено 2 проекта НПА и 1 НПА. Замечаний и предложений от независимых экспертов не поступало.</w:t>
            </w:r>
          </w:p>
        </w:tc>
      </w:tr>
      <w:tr w:rsidR="00A76E1B" w:rsidRPr="000356A5"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3. Оценка состояния коррупции посредством проведения мониторинговых исследований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54" w:rsidRPr="000356A5" w:rsidTr="00FE5ECC">
        <w:tc>
          <w:tcPr>
            <w:tcW w:w="648" w:type="dxa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47" w:type="dxa"/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2551" w:type="dxa"/>
            <w:shd w:val="clear" w:color="auto" w:fill="auto"/>
          </w:tcPr>
          <w:p w:rsidR="00545654" w:rsidRPr="000356A5" w:rsidRDefault="00545654" w:rsidP="00545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545654" w:rsidRPr="000356A5" w:rsidRDefault="00545654" w:rsidP="00545654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545654" w:rsidRPr="000356A5" w:rsidRDefault="00545654" w:rsidP="00545654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545654" w:rsidRPr="000356A5" w:rsidRDefault="00545654" w:rsidP="00545654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545654" w:rsidRPr="000356A5" w:rsidRDefault="00545654" w:rsidP="00545654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545654" w:rsidRPr="000356A5" w:rsidRDefault="00545654" w:rsidP="00545654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545654" w:rsidRPr="000356A5" w:rsidTr="00FE5ECC">
        <w:tc>
          <w:tcPr>
            <w:tcW w:w="648" w:type="dxa"/>
            <w:tcBorders>
              <w:bottom w:val="single" w:sz="4" w:space="0" w:color="auto"/>
            </w:tcBorders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545654" w:rsidRPr="000356A5" w:rsidRDefault="00545654" w:rsidP="00545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545654" w:rsidRPr="000356A5" w:rsidRDefault="00545654" w:rsidP="00545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5654" w:rsidRPr="000356A5" w:rsidRDefault="00545654" w:rsidP="00545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45654" w:rsidRPr="000356A5" w:rsidRDefault="00545654" w:rsidP="00545654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545654" w:rsidRPr="000356A5" w:rsidRDefault="00545654" w:rsidP="00545654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0356A5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0356A5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545654" w:rsidRPr="000356A5" w:rsidRDefault="00545654" w:rsidP="00545654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в феврале и марте на </w:t>
            </w:r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выездных приемах граждан руководством Управления (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Атнинский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Пестречинский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муниципальные районы);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в апреле, мае и в июне </w:t>
            </w:r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Азнакаевский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Алькеевский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Апастовский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Новошешминский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муниципальные районы); в июле, августе, сентябре (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Кайбицкий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Муслюмовский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Нурлатский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муниципальные районы), в октябре (Рыбно-Слободской,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Черемшанский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Ютазинский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муниципальные районы), в ноябре (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Тюлячинский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муниципальный район), в декабре (отдел Гостехнадзора РТ по г. Казань) проведены опросы заявителей при получении государственных услуг оказываемых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Опросы показали, что коррупционные факторы при оказании государственных услуг </w:t>
            </w:r>
            <w:proofErr w:type="spellStart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0356A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545654" w:rsidRPr="000356A5" w:rsidRDefault="00545654" w:rsidP="005456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A76E1B" w:rsidRPr="000356A5"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860C8F" w:rsidRPr="000356A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До всех государственных гражданских служащих Республики Татарстан в Управлении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25.02.2016 проведено расширенное заседание Общественного совета при Управлении Гостехнадзора Республики Татарстан с участием начальников территориальных органов Управления. Среди актуальных вопросов было выступление председателя Общественного совета при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Гостехнадзоре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М.М., утверждение опроса заявителей при получении государственных услуг, оказываемых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Гостехнадзором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РТ, обзор проблемных вопросов при заполнении сведений о доходах, расходах, об имуществе и обязательствах имущественного характера государственных гражданских служащих Республики Татарстан и членов их семей.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Также проведено тестирование на знание государственными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гражданскими служащими законодательства в области противодействия коррупции.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24.06.2016 проведено очередное заседание Общественного совета при Управлении Гостехнадзора Республики Татарстан. Среди актуальных вопросов рассматривались: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Итоги работы Общественного совета при Управлении Гостехнадзора Республики Татарстан за 1 полугодие 2016 года.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34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Анализ работы Управления Гостехнадзора Республики Татарстан по регистрации снегоходов и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квадроциклов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за 2015 год и 1 полугодие 2016 года.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34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проектов нормативных правовых актов, разработанных Управлением Гостехнадзора Республики Татарстан. </w:t>
            </w:r>
          </w:p>
          <w:p w:rsidR="00A76E1B" w:rsidRPr="000356A5" w:rsidRDefault="00A76E1B" w:rsidP="00A76E1B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Обсуждение формата проведения Управлением Гостехнадзора Республики Татарстан профилактической операции «Комбайн».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21.12.2016 будет проведено третье очередное заседание Общественного совета при Управлении Гостехнадзора Республики Татарстан, проходившего в расширенном формате с участием начальников территориальных отделов Управления Гостехнадзора Республики Татарстан.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Среди актуальных вопросов: </w:t>
            </w:r>
          </w:p>
          <w:p w:rsidR="00A76E1B" w:rsidRPr="000356A5" w:rsidRDefault="00A76E1B" w:rsidP="00A76E1B">
            <w:pPr>
              <w:pStyle w:val="af1"/>
              <w:widowControl w:val="0"/>
              <w:numPr>
                <w:ilvl w:val="0"/>
                <w:numId w:val="34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Рассмотрение результатов деятельности Управления Гостехнадзора Республики Татарстан за 2016 год и основных направлений деятельности на 2017 год;</w:t>
            </w:r>
          </w:p>
          <w:p w:rsidR="00A76E1B" w:rsidRPr="000356A5" w:rsidRDefault="00A76E1B" w:rsidP="00A76E1B">
            <w:pPr>
              <w:pStyle w:val="af1"/>
              <w:widowControl w:val="0"/>
              <w:numPr>
                <w:ilvl w:val="0"/>
                <w:numId w:val="34"/>
              </w:numPr>
              <w:tabs>
                <w:tab w:val="left" w:pos="287"/>
              </w:tabs>
              <w:spacing w:after="0" w:line="240" w:lineRule="auto"/>
              <w:ind w:left="34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Обсуждение формата проведения Управлением Гостехнадзора Республики Татарстан ежегодной профилактической операции «Снегоход». </w:t>
            </w:r>
          </w:p>
          <w:p w:rsidR="00A76E1B" w:rsidRPr="000356A5" w:rsidRDefault="00A76E1B" w:rsidP="00A76E1B">
            <w:pPr>
              <w:pStyle w:val="af1"/>
              <w:widowControl w:val="0"/>
              <w:numPr>
                <w:ilvl w:val="0"/>
                <w:numId w:val="34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Итоги деятельности Управления Гостехнадзора Республики Татарстан по регистрации самоходной техники для активного отдыха (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квадроциклов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>, снегоходов) за 2016 год.</w:t>
            </w:r>
          </w:p>
          <w:p w:rsidR="00A76E1B" w:rsidRPr="000356A5" w:rsidRDefault="00A76E1B" w:rsidP="00A76E1B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Протоколы и иная информация о деятельности Общественного совета при Управлении Гостехнадзора Республики Татарстан размещена на официальном сайте Гостехнадзора.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860C8F" w:rsidP="00860C8F">
            <w:pPr>
              <w:widowControl w:val="0"/>
              <w:tabs>
                <w:tab w:val="left" w:pos="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дня которых входит вопрос по соблюдению государственными гражданскими служащими ограничений, запретов связанных с прохождением государственной службы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A76E1B" w:rsidRPr="000356A5" w:rsidRDefault="00A76E1B" w:rsidP="00A76E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Служащим Управления, планирующим увольнение с государственной гражданской службы выдается памятка утвержденная приказом от 22.05.2014 № 01-05/89-пр (с изменениями, вносимыми согласно действующему законодательству) с закреплением соответствующих норм и положений о государственной гражданской службе.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A5">
              <w:rPr>
                <w:rFonts w:ascii="Times New Roman" w:hAnsi="Times New Roman"/>
                <w:bCs/>
                <w:sz w:val="24"/>
                <w:szCs w:val="24"/>
              </w:rPr>
              <w:t>За 2016 год были доведены до сведения государственных гражданских служащих следующие материалы: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 озвученная на научно-практической конференции по актуальным вопросам противодействия коррупции в субъектах Российской Федерации 09.11.2016.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Информационно-аналитический материал подготовленный Аппаратом полномочного представителя Президента Российской Федерации в Приволжском федеральном округе совместно с органами государственной власти Чувашской Республики сборник материалов                         «О реализации антикоррупционной политики в Чувашской Республике».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Информационно-аналитический материал «Изучение мнения населения Республики Татарстан о коррупции», подготовленный Комитетом Республики Татарстан по социально-экономическому мониторингу по результатам социологического исследования 2016 года.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 о положительном опыте использования антикоррупционных мер в Альметьевском муниципальном районе.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Информация «Об антикоррупционных мерах» направленная Аппаратом Президента РТ. 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Обзор практики по рассмотрению в 2012</w:t>
            </w:r>
            <w:r w:rsidRPr="000356A5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Обзор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год, направленная Аппаратом Президента РТ.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Федерации.</w:t>
            </w:r>
          </w:p>
          <w:p w:rsidR="00A76E1B" w:rsidRPr="000356A5" w:rsidRDefault="00A76E1B" w:rsidP="00A76E1B">
            <w:pPr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Результаты тестирования сотрудников Гостехнадзора на знание законодательства о коррупции.</w:t>
            </w:r>
          </w:p>
          <w:p w:rsidR="00A76E1B" w:rsidRPr="000356A5" w:rsidRDefault="00A76E1B" w:rsidP="00A76E1B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Также 25 февраля 2016 года проведено расширенное заседание Общественного совета при Управлении Гостехнадзора Республики Татарстан с участием начальников территориальных органов Управления. Среди актуальных вопросов было выступление председателя Общественного совета при Управлении Гостехнадзора Республики Татарстан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М.М., утверждение опроса заявителей при получении государственных услуг, оказываемых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Гостехнадзором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Татарстан, выступление заведующего сектором Управления Президента Республики Татарстан по вопросам антикоррупционной политики Рахимова С.Ф. с обзором проблемных вопросов при заполнении сведений о доходах, расходах, об имуществе и обязательствах имущественного характера государственных гражданских служащих Республики Татарстан и членов их семей.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860C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r w:rsidR="00860C8F" w:rsidRPr="000356A5">
              <w:rPr>
                <w:rFonts w:ascii="Times New Roman" w:hAnsi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</w:t>
            </w:r>
            <w:r w:rsidR="00860C8F"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коррупции» размещаются </w:t>
            </w:r>
            <w:hyperlink r:id="rId8" w:history="1">
              <w:r w:rsidRPr="000356A5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0356A5">
              <w:rPr>
                <w:rFonts w:ascii="Times New Roman" w:hAnsi="Times New Roman"/>
                <w:sz w:val="24"/>
                <w:szCs w:val="24"/>
              </w:rPr>
              <w:t>, в том числе памятка об уголовной ответственности за получение и дачу взятки и мерах административной ответственности за незаконные вознаграждения. Приказом Управления от 23.06.2015 № 01-05/104-пр утверждена Памятка по противодействию коррупции.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государственных гражданских служащих.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21 декабря 2016 года состоится итоговое совещание с начальниками территориальных отделов Управления Гостехнадзора Республики Татарстан с приглашением представителей Общественного Совета Управления Гостехнадзора Республики Татарстан. В повестку дня, в том числе войдут: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Анализ исполнения антикоррупционной Программы Управления Гостехнадзора Республики Татарстан на 2015 – 2020 годы, за 2016 год.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Контроль за размещением заказов на поставки товаров, выполнение работ, оказание услуг для нужд Управления Гостехнадзора Республики Татарстан за 2016 год. 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мероприятий, посвященных Международному дню борьбы с коррупцией. </w:t>
            </w:r>
          </w:p>
          <w:p w:rsidR="00A76E1B" w:rsidRPr="000356A5" w:rsidRDefault="00A76E1B" w:rsidP="00A76E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12-14 июля 2016 года состоялись плановые совещания с начальниками отделов - главными государственными инженерами-инспекторами Гостехнадзора Республики Татарстан.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повестку дня, в том числе вошли: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Информация по итогам проверок территориальных отделов и первичных документов при совершении юридических значимых действий за 2 квартал 2016 года.</w:t>
            </w:r>
          </w:p>
          <w:p w:rsidR="00A76E1B" w:rsidRPr="000356A5" w:rsidRDefault="00A76E1B" w:rsidP="00A76E1B">
            <w:pPr>
              <w:pStyle w:val="af1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за 2 квартал 2016 года. </w:t>
            </w:r>
          </w:p>
          <w:p w:rsidR="00A76E1B" w:rsidRPr="000356A5" w:rsidRDefault="00A76E1B" w:rsidP="00A76E1B">
            <w:pPr>
              <w:pStyle w:val="af1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Результаты социологического исследования 2016 года «Изучение мнения населения Республики Татарстан о коррупции».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12-14 апреля 2016 года, на совещаниях с территориальными органами Гостехнадзора, начальником отдела организационно-правовой работы была прочитана лекция на тему: «Какие подарки законны?». Информация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также размещена на информационном стенде в холле Управления.</w:t>
            </w:r>
          </w:p>
          <w:p w:rsidR="00A76E1B" w:rsidRPr="000356A5" w:rsidRDefault="00A76E1B" w:rsidP="00A76E1B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356A5">
              <w:rPr>
                <w:rFonts w:ascii="Times New Roman" w:hAnsi="Times New Roman"/>
                <w:b w:val="0"/>
                <w:color w:val="auto"/>
              </w:rPr>
              <w:t xml:space="preserve">25-26 февраля 2016 года в рамках итогового совещания и обучающего семинара для начальников территориальных органов Управления Гостехнадзора Республики Татарстан рассмотрены следующие материалы: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-анализ проделанной работы за 2015 год;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-состояние коррупции и принимаемых мер по сокращению коррупционных условий.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Проведена проверка знаний государственных служащих Управления по вопросам противодействия коррупции.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>
        <w:trPr>
          <w:trHeight w:val="470"/>
        </w:trPr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1B" w:rsidRPr="000356A5" w:rsidTr="00FE5ECC">
        <w:trPr>
          <w:trHeight w:val="1006"/>
        </w:trPr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860C8F" w:rsidRPr="000356A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A76E1B" w:rsidRPr="000356A5" w:rsidTr="00FE5ECC">
        <w:trPr>
          <w:trHeight w:val="1047"/>
        </w:trPr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860C8F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отражается результаты антикоррупционной деятельности Управления.</w:t>
            </w: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860C8F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A76E1B" w:rsidRPr="000356A5" w:rsidRDefault="00A76E1B" w:rsidP="00A76E1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«Интернет-приёмная», где граждане могут оставлять электронные сообщения.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В отчетный период обращений от граждан и организаций о фактах проявления коррупции не поступало.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C4" w:rsidRPr="000356A5" w:rsidTr="00FE5ECC">
        <w:tc>
          <w:tcPr>
            <w:tcW w:w="648" w:type="dxa"/>
          </w:tcPr>
          <w:p w:rsidR="00FB65C4" w:rsidRPr="000356A5" w:rsidRDefault="00FB65C4" w:rsidP="00FB6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FB65C4" w:rsidRPr="000356A5" w:rsidRDefault="00FB65C4" w:rsidP="00FB6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FB65C4" w:rsidRPr="000356A5" w:rsidRDefault="00FB65C4" w:rsidP="00FB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FB65C4" w:rsidRPr="000356A5" w:rsidRDefault="00FB65C4" w:rsidP="00FB6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Обращения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FB65C4" w:rsidRPr="000356A5" w:rsidRDefault="00FB65C4" w:rsidP="00FB6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Результаты мониторинга информации о коррупционных проявлениях в деятельности должностных лиц Управления Гостехнадзора Республики Татарстан, размещенной в СМИ, в том числе сети Интернет за 2016 год рассмотрены на итоговом заседании комиссии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при начальнике Управления Гостехнадзора Республики Татарстан по противодействию коррупции (Протокол от 06.12.2016 № 4).</w:t>
            </w:r>
          </w:p>
        </w:tc>
      </w:tr>
      <w:tr w:rsidR="00FB65C4" w:rsidRPr="000356A5" w:rsidTr="00FE5ECC">
        <w:trPr>
          <w:trHeight w:val="481"/>
        </w:trPr>
        <w:tc>
          <w:tcPr>
            <w:tcW w:w="648" w:type="dxa"/>
          </w:tcPr>
          <w:p w:rsidR="00FB65C4" w:rsidRPr="000356A5" w:rsidRDefault="00FB65C4" w:rsidP="00FB6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FB65C4" w:rsidRPr="000356A5" w:rsidRDefault="00FB65C4" w:rsidP="00FB6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FB65C4" w:rsidRPr="000356A5" w:rsidRDefault="00FB65C4" w:rsidP="00FB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FB65C4" w:rsidRPr="000356A5" w:rsidRDefault="00FB65C4" w:rsidP="00FB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0356A5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Казань и ТНВ, привлекаемых к освещению проводимых в Управлении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0356A5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0356A5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FB65C4" w:rsidRPr="000356A5" w:rsidRDefault="00FB65C4" w:rsidP="00FB65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A76E1B" w:rsidRPr="000356A5" w:rsidTr="00FE5ECC"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FB65C4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противодействию коррупции. 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Обновления стенда осуществляются по мере обновления законодательства в сфере противодействия коррупции.</w:t>
            </w:r>
          </w:p>
        </w:tc>
      </w:tr>
      <w:tr w:rsidR="00A76E1B" w:rsidRPr="000356A5">
        <w:trPr>
          <w:trHeight w:val="470"/>
        </w:trPr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3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E1B" w:rsidRPr="000356A5" w:rsidTr="00FE5ECC">
        <w:trPr>
          <w:trHeight w:val="986"/>
        </w:trPr>
        <w:tc>
          <w:tcPr>
            <w:tcW w:w="648" w:type="dxa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A76E1B" w:rsidRPr="000356A5" w:rsidRDefault="004958A3" w:rsidP="00A76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551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0356A5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0356A5">
              <w:rPr>
                <w:rFonts w:ascii="Times New Roman" w:hAnsi="Times New Roman"/>
                <w:sz w:val="24"/>
                <w:szCs w:val="24"/>
              </w:rPr>
              <w:t>. № 44-ФЗ "О контрактной системе в сфере закупок товаров, работ, услуг для обеспечения государственных и муниципальных нужд". 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035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0356A5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0356A5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 xml:space="preserve">Вопросы контроля за размещением заказов на поставки товаров, выполнение работ, оказание услуг для Управления Гостехнадзора Республики Татарстан за 2016 год </w:t>
            </w:r>
            <w:r w:rsidRPr="000356A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рассмотрены на итоговом заседании комиссии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>при начальнике Управления Гостехнадзора Республики Татарстан по противодействию коррупции (Протокол от 06.12.2016 № 4).</w:t>
            </w:r>
          </w:p>
        </w:tc>
      </w:tr>
      <w:tr w:rsidR="00A76E1B" w:rsidRPr="000356A5">
        <w:trPr>
          <w:trHeight w:val="299"/>
        </w:trPr>
        <w:tc>
          <w:tcPr>
            <w:tcW w:w="15948" w:type="dxa"/>
            <w:gridSpan w:val="4"/>
          </w:tcPr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A76E1B" w:rsidRPr="000356A5" w:rsidRDefault="00A76E1B" w:rsidP="00A76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3E" w:rsidRPr="00BF2474" w:rsidTr="00814535">
        <w:trPr>
          <w:trHeight w:val="1113"/>
        </w:trPr>
        <w:tc>
          <w:tcPr>
            <w:tcW w:w="648" w:type="dxa"/>
          </w:tcPr>
          <w:p w:rsidR="001D223E" w:rsidRPr="000356A5" w:rsidRDefault="001D223E" w:rsidP="001D2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1D223E" w:rsidRPr="000356A5" w:rsidRDefault="001D223E" w:rsidP="001D2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2551" w:type="dxa"/>
            <w:shd w:val="clear" w:color="auto" w:fill="auto"/>
          </w:tcPr>
          <w:p w:rsidR="001D223E" w:rsidRPr="000356A5" w:rsidRDefault="001D223E" w:rsidP="001D2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1D223E" w:rsidRPr="000356A5" w:rsidRDefault="001D223E" w:rsidP="001D223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1D223E" w:rsidRPr="000356A5" w:rsidRDefault="001D223E" w:rsidP="001D223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sz w:val="24"/>
                <w:szCs w:val="24"/>
              </w:rPr>
              <w:t>Служащим Управления, планирующим увольнение с государственной гражданской службы выдается памятка утвержденная приказом от 22.05.2014 № 01-05/89-пр (с изменениями, вносимыми согласно действующему законодательству) с закреплением соответствующих норм и положений о государственной гражданской службе.</w:t>
            </w:r>
          </w:p>
          <w:p w:rsidR="001D223E" w:rsidRPr="00BF2474" w:rsidRDefault="001D223E" w:rsidP="001D223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A5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0356A5">
              <w:rPr>
                <w:rFonts w:ascii="Times New Roman" w:hAnsi="Times New Roman"/>
                <w:sz w:val="24"/>
                <w:szCs w:val="24"/>
              </w:rPr>
              <w:t xml:space="preserve"> направляются запросы в МВД по РТ на наличие (отсутствие) судимости и (или) факта уголовного преследования либо прекращение </w:t>
            </w:r>
            <w:r w:rsidRPr="000356A5">
              <w:rPr>
                <w:rFonts w:ascii="Times New Roman" w:hAnsi="Times New Roman"/>
                <w:sz w:val="24"/>
                <w:szCs w:val="24"/>
              </w:rPr>
              <w:lastRenderedPageBreak/>
              <w:t>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проводилась проверка подлинности документов об образовании.</w:t>
            </w:r>
            <w:bookmarkStart w:id="0" w:name="_GoBack"/>
            <w:bookmarkEnd w:id="0"/>
          </w:p>
          <w:p w:rsidR="001D223E" w:rsidRPr="00BF2474" w:rsidRDefault="001D223E" w:rsidP="001D223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DC29C8" w:rsidRDefault="00C872A5" w:rsidP="00DC29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DC29C8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F6" w:rsidRDefault="003C5CF6" w:rsidP="00B503EF">
      <w:pPr>
        <w:spacing w:after="0" w:line="240" w:lineRule="auto"/>
      </w:pPr>
      <w:r>
        <w:separator/>
      </w:r>
    </w:p>
  </w:endnote>
  <w:endnote w:type="continuationSeparator" w:id="0">
    <w:p w:rsidR="003C5CF6" w:rsidRDefault="003C5CF6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F6" w:rsidRDefault="003C5CF6" w:rsidP="00B503EF">
      <w:pPr>
        <w:spacing w:after="0" w:line="240" w:lineRule="auto"/>
      </w:pPr>
      <w:r>
        <w:separator/>
      </w:r>
    </w:p>
  </w:footnote>
  <w:footnote w:type="continuationSeparator" w:id="0">
    <w:p w:rsidR="003C5CF6" w:rsidRDefault="003C5CF6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0356A5">
      <w:rPr>
        <w:rStyle w:val="afe"/>
        <w:rFonts w:ascii="Times New Roman" w:hAnsi="Times New Roman"/>
        <w:noProof/>
        <w:sz w:val="24"/>
        <w:szCs w:val="24"/>
      </w:rPr>
      <w:t>19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2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5"/>
  </w:num>
  <w:num w:numId="4">
    <w:abstractNumId w:val="20"/>
  </w:num>
  <w:num w:numId="5">
    <w:abstractNumId w:val="27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4"/>
  </w:num>
  <w:num w:numId="13">
    <w:abstractNumId w:val="2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36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2"/>
  </w:num>
  <w:num w:numId="34">
    <w:abstractNumId w:val="30"/>
  </w:num>
  <w:num w:numId="35">
    <w:abstractNumId w:val="12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56A5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0B4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23E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5CF6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4D9C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51F1"/>
    <w:rsid w:val="004958A3"/>
    <w:rsid w:val="0049607C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654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1B06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0C8F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0EA8"/>
    <w:rsid w:val="009E11F1"/>
    <w:rsid w:val="009E126F"/>
    <w:rsid w:val="009E225D"/>
    <w:rsid w:val="009E4C65"/>
    <w:rsid w:val="009E50FD"/>
    <w:rsid w:val="009E71BB"/>
    <w:rsid w:val="009E71BE"/>
    <w:rsid w:val="009E74F7"/>
    <w:rsid w:val="009E76B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30B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6E1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15FE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C08F7"/>
    <w:rsid w:val="00AC1496"/>
    <w:rsid w:val="00AC14FC"/>
    <w:rsid w:val="00AC20B1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474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A9C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0BC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25CA"/>
    <w:rsid w:val="00DE31EF"/>
    <w:rsid w:val="00DE52B2"/>
    <w:rsid w:val="00DE6132"/>
    <w:rsid w:val="00DE7080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4D9B"/>
    <w:rsid w:val="00E85949"/>
    <w:rsid w:val="00E859F7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5C4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AFE71-4EE9-435F-A94B-5D0586D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39515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12</cp:revision>
  <cp:lastPrinted>2014-07-16T12:25:00Z</cp:lastPrinted>
  <dcterms:created xsi:type="dcterms:W3CDTF">2016-12-16T08:58:00Z</dcterms:created>
  <dcterms:modified xsi:type="dcterms:W3CDTF">2017-09-07T11:39:00Z</dcterms:modified>
</cp:coreProperties>
</file>